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default" w:ascii="Arial" w:hAnsi="Arial" w:cs="Arial"/>
          <w:color w:val="auto"/>
          <w:sz w:val="21"/>
          <w:szCs w:val="21"/>
        </w:rPr>
      </w:pPr>
      <w:r>
        <w:rPr>
          <w:rStyle w:val="5"/>
          <w:rFonts w:hint="eastAsia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Lion's Mane Mushroom</w:t>
      </w:r>
      <w:r>
        <w:rPr>
          <w:rStyle w:val="5"/>
          <w:rFonts w:hint="eastAsia" w:ascii="Arial" w:hAnsi="Arial" w:eastAsia="宋体" w:cs="Arial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Extract</w:t>
      </w:r>
    </w:p>
    <w:tbl>
      <w:tblPr>
        <w:tblStyle w:val="3"/>
        <w:tblW w:w="81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582"/>
        <w:gridCol w:w="2214"/>
        <w:gridCol w:w="1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46" w:type="dxa"/>
            <w:tcBorders>
              <w:top w:val="single" w:color="auto" w:sz="18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  <w:t>General Information</w:t>
            </w:r>
          </w:p>
        </w:tc>
        <w:tc>
          <w:tcPr>
            <w:tcW w:w="2582" w:type="dxa"/>
            <w:tcBorders>
              <w:top w:val="single" w:color="auto" w:sz="18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color="auto" w:sz="18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18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Latin Name</w:t>
            </w:r>
          </w:p>
        </w:tc>
        <w:tc>
          <w:tcPr>
            <w:tcW w:w="2582" w:type="dxa"/>
          </w:tcPr>
          <w:p>
            <w:pPr>
              <w:pStyle w:val="2"/>
              <w:widowControl/>
              <w:spacing w:line="300" w:lineRule="atLeast"/>
              <w:rPr>
                <w:rFonts w:hint="eastAsia" w:ascii="Arial" w:hAnsi="Arial" w:cs="Arial" w:eastAsiaTheme="minorEastAsia"/>
                <w:i/>
                <w:color w:val="auto"/>
                <w:sz w:val="18"/>
                <w:szCs w:val="18"/>
                <w:lang w:eastAsia="zh-CN"/>
              </w:rPr>
            </w:pPr>
            <w:r>
              <w:rPr>
                <w:rStyle w:val="5"/>
                <w:rFonts w:ascii="Arial" w:hAnsi="Arial" w:eastAsia="宋体" w:cs="Arial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Hericiumerinaceus</w:t>
            </w:r>
          </w:p>
        </w:tc>
        <w:tc>
          <w:tcPr>
            <w:tcW w:w="2214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Part of Used</w:t>
            </w:r>
          </w:p>
        </w:tc>
        <w:tc>
          <w:tcPr>
            <w:tcW w:w="147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Fruit Body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Country of Origin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China</w:t>
            </w:r>
          </w:p>
        </w:tc>
        <w:tc>
          <w:tcPr>
            <w:tcW w:w="2214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Representative QTY</w:t>
            </w:r>
          </w:p>
        </w:tc>
        <w:tc>
          <w:tcPr>
            <w:tcW w:w="147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00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Batch No.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LZ20220112</w:t>
            </w:r>
          </w:p>
        </w:tc>
        <w:tc>
          <w:tcPr>
            <w:tcW w:w="2214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Produce Date</w:t>
            </w:r>
          </w:p>
        </w:tc>
        <w:tc>
          <w:tcPr>
            <w:tcW w:w="1476" w:type="dxa"/>
          </w:tcPr>
          <w:p>
            <w:pPr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20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01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bCs/>
                <w:color w:val="auto"/>
                <w:sz w:val="18"/>
                <w:szCs w:val="18"/>
              </w:rPr>
              <w:t>Analysis Date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20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01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214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Report Date</w:t>
            </w:r>
          </w:p>
        </w:tc>
        <w:tc>
          <w:tcPr>
            <w:tcW w:w="1476" w:type="dxa"/>
          </w:tcPr>
          <w:p>
            <w:pPr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20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01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Extract Ratio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30:1</w:t>
            </w:r>
          </w:p>
        </w:tc>
        <w:tc>
          <w:tcPr>
            <w:tcW w:w="2214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Extract Solvents</w:t>
            </w:r>
          </w:p>
        </w:tc>
        <w:tc>
          <w:tcPr>
            <w:tcW w:w="1476" w:type="dxa"/>
          </w:tcPr>
          <w:p>
            <w:pPr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Water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846" w:type="dxa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  <w:t>Item</w:t>
            </w:r>
          </w:p>
        </w:tc>
        <w:tc>
          <w:tcPr>
            <w:tcW w:w="2582" w:type="dxa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  <w:t>Specification</w:t>
            </w:r>
          </w:p>
        </w:tc>
        <w:tc>
          <w:tcPr>
            <w:tcW w:w="3690" w:type="dxa"/>
            <w:gridSpan w:val="2"/>
            <w:tcBorders>
              <w:top w:val="single" w:color="auto" w:sz="18" w:space="0"/>
              <w:bottom w:val="single" w:color="auto" w:sz="18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  <w:t>Method                  Result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846" w:type="dxa"/>
            <w:tcBorders>
              <w:top w:val="single" w:color="auto" w:sz="18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  <w:t>Physical Property</w:t>
            </w:r>
          </w:p>
        </w:tc>
        <w:tc>
          <w:tcPr>
            <w:tcW w:w="2582" w:type="dxa"/>
            <w:tcBorders>
              <w:top w:val="single" w:color="auto" w:sz="18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tcBorders>
              <w:top w:val="single" w:color="auto" w:sz="18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Appearance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Fine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owder</w:t>
            </w:r>
          </w:p>
        </w:tc>
        <w:tc>
          <w:tcPr>
            <w:tcW w:w="3690" w:type="dxa"/>
            <w:gridSpan w:val="2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Organoleptic         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Conforms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Color 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楷体" w:cs="Arial"/>
                <w:color w:val="auto"/>
                <w:sz w:val="18"/>
                <w:szCs w:val="18"/>
                <w:lang w:val="en-US" w:eastAsia="zh-CN"/>
              </w:rPr>
              <w:t>Brown Yellow</w:t>
            </w:r>
            <w:r>
              <w:rPr>
                <w:rFonts w:hint="default" w:ascii="Arial" w:hAnsi="Arial" w:eastAsia="楷体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eastAsia="楷体" w:cs="Arial"/>
                <w:color w:val="auto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Arial" w:hAnsi="Arial" w:eastAsia="楷体" w:cs="Arial"/>
                <w:color w:val="auto"/>
                <w:sz w:val="18"/>
                <w:szCs w:val="18"/>
              </w:rPr>
              <w:t xml:space="preserve">owder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690" w:type="dxa"/>
            <w:gridSpan w:val="2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Organoleptic         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Conforms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Odour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Characteristic</w:t>
            </w:r>
          </w:p>
        </w:tc>
        <w:tc>
          <w:tcPr>
            <w:tcW w:w="3690" w:type="dxa"/>
            <w:gridSpan w:val="2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Organoleptic         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Conforms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  <w:tcBorders>
              <w:bottom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Mesh Size</w:t>
            </w:r>
          </w:p>
        </w:tc>
        <w:tc>
          <w:tcPr>
            <w:tcW w:w="2582" w:type="dxa"/>
            <w:tcBorders>
              <w:bottom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100% through 80 mesh size</w:t>
            </w:r>
          </w:p>
        </w:tc>
        <w:tc>
          <w:tcPr>
            <w:tcW w:w="3690" w:type="dxa"/>
            <w:gridSpan w:val="2"/>
            <w:tcBorders>
              <w:bottom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USP39&lt;786&gt;        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 Conforms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846" w:type="dxa"/>
            <w:tcBorders>
              <w:top w:val="single" w:color="auto" w:sz="12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  <w:t>General Analysis</w:t>
            </w:r>
          </w:p>
        </w:tc>
        <w:tc>
          <w:tcPr>
            <w:tcW w:w="2582" w:type="dxa"/>
            <w:tcBorders>
              <w:top w:val="single" w:color="auto" w:sz="12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tcBorders>
              <w:top w:val="single" w:color="auto" w:sz="12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Identification</w:t>
            </w:r>
          </w:p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Assay</w:t>
            </w:r>
          </w:p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Loss on Drying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Identical to R.S. sample</w:t>
            </w:r>
          </w:p>
          <w:p>
            <w:pPr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18"/>
                <w:szCs w:val="18"/>
                <w:lang w:val="en-US" w:eastAsia="zh-CN"/>
              </w:rPr>
              <w:t>Polysaccharide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NLT 30% </w:t>
            </w:r>
          </w:p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≤5.0%</w:t>
            </w:r>
          </w:p>
        </w:tc>
        <w:tc>
          <w:tcPr>
            <w:tcW w:w="2214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USP39 </w:t>
            </w:r>
          </w:p>
          <w:p>
            <w:pP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UV</w:t>
            </w:r>
          </w:p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Eur.Ph.8.0[2.2.32]</w:t>
            </w:r>
          </w:p>
        </w:tc>
        <w:tc>
          <w:tcPr>
            <w:tcW w:w="1476" w:type="dxa"/>
          </w:tcPr>
          <w:p>
            <w:pPr>
              <w:ind w:firstLine="270" w:firstLineChars="150"/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Conforms</w:t>
            </w:r>
          </w:p>
          <w:p>
            <w:pPr>
              <w:ind w:firstLine="270" w:firstLineChars="150"/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31.8%</w:t>
            </w:r>
          </w:p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3.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05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  <w:tcBorders>
              <w:bottom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Ash</w:t>
            </w:r>
          </w:p>
        </w:tc>
        <w:tc>
          <w:tcPr>
            <w:tcW w:w="2582" w:type="dxa"/>
            <w:tcBorders>
              <w:bottom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≤5.0%</w:t>
            </w:r>
          </w:p>
        </w:tc>
        <w:tc>
          <w:tcPr>
            <w:tcW w:w="3690" w:type="dxa"/>
            <w:gridSpan w:val="2"/>
            <w:tcBorders>
              <w:bottom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Eur.Ph.8.0[2.4.16]     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3.0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846" w:type="dxa"/>
            <w:tcBorders>
              <w:top w:val="single" w:color="auto" w:sz="12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  <w:t xml:space="preserve">Contaminants </w:t>
            </w:r>
          </w:p>
        </w:tc>
        <w:tc>
          <w:tcPr>
            <w:tcW w:w="2582" w:type="dxa"/>
            <w:tcBorders>
              <w:top w:val="single" w:color="auto" w:sz="12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color="auto" w:sz="12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12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Solvents Residue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Meet Eur.Ph8.0&lt;5.4&gt;</w:t>
            </w:r>
          </w:p>
        </w:tc>
        <w:tc>
          <w:tcPr>
            <w:tcW w:w="3690" w:type="dxa"/>
            <w:gridSpan w:val="2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Eur.Ph 8.0&lt;2.4.24&gt;     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Conforms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Pesticides Residue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Meet USP39&lt;561&gt;</w:t>
            </w:r>
          </w:p>
        </w:tc>
        <w:tc>
          <w:tcPr>
            <w:tcW w:w="3690" w:type="dxa"/>
            <w:gridSpan w:val="2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USP39&lt;561&gt;          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Conforms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Lead(Pb)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≤3.0mg/kg</w:t>
            </w:r>
          </w:p>
        </w:tc>
        <w:tc>
          <w:tcPr>
            <w:tcW w:w="3690" w:type="dxa"/>
            <w:gridSpan w:val="2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Eur.Ph8.0&lt;2.4.10&gt;ICP-MS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Conforms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Arsenic(As)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≤2.0mg/kg</w:t>
            </w:r>
          </w:p>
        </w:tc>
        <w:tc>
          <w:tcPr>
            <w:tcW w:w="3690" w:type="dxa"/>
            <w:gridSpan w:val="2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Eur.Ph8.0&lt;2.4.2&gt;ICP-MS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Conforms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Cadmium(Cd)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≤1.0mg/kg</w:t>
            </w:r>
          </w:p>
        </w:tc>
        <w:tc>
          <w:tcPr>
            <w:tcW w:w="3690" w:type="dxa"/>
            <w:gridSpan w:val="2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Eur.Ph8.0&lt;2.2.58&gt;ICP-MS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Conforms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  <w:tcBorders>
              <w:bottom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Mercury(Hg)</w:t>
            </w:r>
          </w:p>
        </w:tc>
        <w:tc>
          <w:tcPr>
            <w:tcW w:w="2582" w:type="dxa"/>
            <w:tcBorders>
              <w:bottom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≤0.1mg/kg</w:t>
            </w:r>
          </w:p>
        </w:tc>
        <w:tc>
          <w:tcPr>
            <w:tcW w:w="3690" w:type="dxa"/>
            <w:gridSpan w:val="2"/>
            <w:tcBorders>
              <w:bottom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Eur.Ph8.0&lt;2.9.32&gt;ICP-MS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Conforms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846" w:type="dxa"/>
            <w:tcBorders>
              <w:top w:val="single" w:color="auto" w:sz="12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  <w:t>Microbiological</w:t>
            </w:r>
          </w:p>
        </w:tc>
        <w:tc>
          <w:tcPr>
            <w:tcW w:w="2582" w:type="dxa"/>
            <w:tcBorders>
              <w:top w:val="single" w:color="auto" w:sz="12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color="auto" w:sz="12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12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Total Plate Count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≤1000cfu/g</w:t>
            </w:r>
          </w:p>
        </w:tc>
        <w:tc>
          <w:tcPr>
            <w:tcW w:w="3690" w:type="dxa"/>
            <w:gridSpan w:val="2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USP39-NF34&lt;2021&gt;    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Conforms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Yeast &amp;Mold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≤100cfu/g</w:t>
            </w:r>
          </w:p>
        </w:tc>
        <w:tc>
          <w:tcPr>
            <w:tcW w:w="3690" w:type="dxa"/>
            <w:gridSpan w:val="2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USP39-NF34&lt;2021&gt;    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Conforms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E.Coli.</w:t>
            </w:r>
          </w:p>
        </w:tc>
        <w:tc>
          <w:tcPr>
            <w:tcW w:w="2582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Negative</w:t>
            </w:r>
          </w:p>
        </w:tc>
        <w:tc>
          <w:tcPr>
            <w:tcW w:w="3690" w:type="dxa"/>
            <w:gridSpan w:val="2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USP39&lt;2022&gt;         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Conforms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  <w:tcBorders>
              <w:bottom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Salmonella</w:t>
            </w:r>
          </w:p>
        </w:tc>
        <w:tc>
          <w:tcPr>
            <w:tcW w:w="2582" w:type="dxa"/>
            <w:tcBorders>
              <w:bottom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Negative</w:t>
            </w:r>
          </w:p>
        </w:tc>
        <w:tc>
          <w:tcPr>
            <w:tcW w:w="3690" w:type="dxa"/>
            <w:gridSpan w:val="2"/>
            <w:tcBorders>
              <w:bottom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USP39&lt;2022&gt;         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Conforms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846" w:type="dxa"/>
            <w:tcBorders>
              <w:top w:val="single" w:color="auto" w:sz="12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  <w:t>Shelf Life</w:t>
            </w:r>
          </w:p>
        </w:tc>
        <w:tc>
          <w:tcPr>
            <w:tcW w:w="6272" w:type="dxa"/>
            <w:gridSpan w:val="3"/>
            <w:tcBorders>
              <w:top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24 months under the conditions below, no antioxidant used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  <w:t>Package&amp;Storage</w:t>
            </w:r>
          </w:p>
        </w:tc>
        <w:tc>
          <w:tcPr>
            <w:tcW w:w="6272" w:type="dxa"/>
            <w:gridSpan w:val="3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Standard packed in fiber-drum and two plastic bags inside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272" w:type="dxa"/>
            <w:gridSpan w:val="3"/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N.W: 25kgs. I.D. 35 x H51 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46" w:type="dxa"/>
            <w:tcBorders>
              <w:bottom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272" w:type="dxa"/>
            <w:gridSpan w:val="3"/>
            <w:tcBorders>
              <w:bottom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Store in a cool,dry place away from Moisture, Light, Oxygen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846" w:type="dxa"/>
            <w:tcBorders>
              <w:top w:val="single" w:color="auto" w:sz="12" w:space="0"/>
            </w:tcBorders>
          </w:tcPr>
          <w:p>
            <w:pP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auto"/>
                <w:sz w:val="18"/>
                <w:szCs w:val="18"/>
              </w:rPr>
              <w:t>Manufacturer</w:t>
            </w:r>
          </w:p>
        </w:tc>
        <w:tc>
          <w:tcPr>
            <w:tcW w:w="6272" w:type="dxa"/>
            <w:gridSpan w:val="3"/>
            <w:tcBorders>
              <w:top w:val="single" w:color="auto" w:sz="12" w:space="0"/>
            </w:tcBorders>
          </w:tcPr>
          <w:p>
            <w:pPr>
              <w:rPr>
                <w:rFonts w:hint="default" w:ascii="Arial" w:hAnsi="Arial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Xi'an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lang w:val="en-US" w:eastAsia="zh-CN"/>
              </w:rPr>
              <w:t>Sost</w:t>
            </w:r>
            <w:bookmarkStart w:id="1" w:name="_GoBack"/>
            <w:bookmarkEnd w:id="1"/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  <w:lang w:val="en-US" w:eastAsia="zh-CN"/>
              </w:rPr>
              <w:t>Biotech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 xml:space="preserve"> Co.,Ltd.</w:t>
            </w:r>
          </w:p>
        </w:tc>
      </w:tr>
    </w:tbl>
    <w:p>
      <w:pPr>
        <w:rPr>
          <w:rFonts w:hint="default" w:ascii="Arial" w:hAnsi="Arial" w:cs="Arial"/>
          <w:b/>
          <w:bCs/>
          <w:color w:val="auto"/>
          <w:sz w:val="18"/>
          <w:szCs w:val="18"/>
        </w:rPr>
      </w:pPr>
    </w:p>
    <w:p>
      <w:pPr>
        <w:ind w:firstLine="1626" w:firstLineChars="900"/>
        <w:rPr>
          <w:rFonts w:hint="default" w:ascii="Arial" w:hAnsi="Arial" w:eastAsia="宋体" w:cs="Arial"/>
          <w:b w:val="0"/>
          <w:bCs w:val="0"/>
          <w:sz w:val="18"/>
          <w:szCs w:val="18"/>
          <w:lang w:val="en-US" w:eastAsia="zh-CN"/>
        </w:rPr>
      </w:pPr>
      <w:bookmarkStart w:id="0" w:name="OLE_LINK4"/>
      <w:r>
        <w:rPr>
          <w:rFonts w:hint="default" w:ascii="Arial" w:hAnsi="Arial" w:cs="Arial"/>
          <w:b/>
          <w:bCs/>
          <w:color w:val="auto"/>
          <w:sz w:val="18"/>
          <w:szCs w:val="18"/>
        </w:rPr>
        <w:t>QC :</w:t>
      </w:r>
      <w:r>
        <w:rPr>
          <w:rFonts w:hint="default" w:ascii="Arial" w:hAnsi="Arial" w:cs="Arial"/>
          <w:color w:val="auto"/>
          <w:sz w:val="18"/>
          <w:szCs w:val="18"/>
        </w:rPr>
        <w:t xml:space="preserve"> </w:t>
      </w:r>
      <w:r>
        <w:rPr>
          <w:rFonts w:hint="default" w:ascii="Arial" w:hAnsi="Arial" w:cs="Arial"/>
          <w:color w:val="auto"/>
          <w:sz w:val="18"/>
          <w:szCs w:val="18"/>
          <w:lang w:val="en-US" w:eastAsia="zh-CN"/>
        </w:rPr>
        <w:t>Guo Shan</w:t>
      </w:r>
      <w:r>
        <w:rPr>
          <w:rFonts w:hint="default" w:ascii="Arial" w:hAnsi="Arial" w:cs="Arial"/>
          <w:color w:val="auto"/>
          <w:sz w:val="18"/>
          <w:szCs w:val="18"/>
        </w:rPr>
        <w:t xml:space="preserve">                             </w:t>
      </w:r>
      <w:r>
        <w:rPr>
          <w:rFonts w:hint="default" w:ascii="Arial" w:hAnsi="Arial" w:cs="Arial"/>
          <w:b/>
          <w:bCs/>
          <w:color w:val="auto"/>
          <w:sz w:val="18"/>
          <w:szCs w:val="18"/>
        </w:rPr>
        <w:t xml:space="preserve">QA: </w:t>
      </w:r>
      <w:r>
        <w:rPr>
          <w:rFonts w:hint="default" w:ascii="Arial" w:hAnsi="Arial" w:cs="Arial"/>
          <w:b w:val="0"/>
          <w:bCs w:val="0"/>
          <w:color w:val="auto"/>
          <w:sz w:val="18"/>
          <w:szCs w:val="18"/>
          <w:lang w:val="en-US" w:eastAsia="zh-CN"/>
        </w:rPr>
        <w:t xml:space="preserve">Feng Li 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3ZDllZDdmNTYwMDhhNDVmM2UwMjMxYjQyOWYifQ=="/>
  </w:docVars>
  <w:rsids>
    <w:rsidRoot w:val="00000000"/>
    <w:rsid w:val="4EE2114F"/>
    <w:rsid w:val="57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2023-05-09T02:31:00Z</dcterms:created>
  <dc:creator>Lenovo</dc:creator>
  <cp:lastModifiedBy>Administrator</cp:lastModifiedBy>
  <dcterms:modified xsi:type="dcterms:W3CDTF">2023-05-09T03:59:22Z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3E95C33C6826423F9569F94FB74E6DE1_12</vt:lpwstr>
  </property>
</Properties>
</file>